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小标宋" w:hAnsi="Times New Roman" w:eastAsia="小标宋" w:cs="Times New Roman"/>
          <w:color w:val="00000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小标宋" w:hAnsi="Times New Roman" w:eastAsia="小标宋" w:cs="Times New Roman"/>
          <w:color w:val="000000"/>
          <w:sz w:val="44"/>
          <w:szCs w:val="44"/>
          <w:highlight w:val="none"/>
          <w:lang w:eastAsia="zh-CN"/>
        </w:rPr>
        <w:t>项目申报指南</w:t>
      </w:r>
      <w:bookmarkEnd w:id="0"/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一、项目名称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***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青年科学家沙龙活动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二、项目编号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2024XSJLSL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三、项目内容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Garamond" w:eastAsia="仿宋_GB2312"/>
          <w:color w:val="000000"/>
          <w:sz w:val="32"/>
          <w:szCs w:val="32"/>
          <w:highlight w:val="none"/>
          <w:lang w:val="en-US" w:eastAsia="zh-CN"/>
        </w:rPr>
        <w:t>围绕“四个面向”，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聚焦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国家重大战略需求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针对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青年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科学家关注的热点问题、非共识性问题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，在开展前期调研的基础上，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邀请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周岁以下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的优秀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青年科学家进行研讨，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交流原创学术思想和最新研究进展</w:t>
      </w:r>
      <w:r>
        <w:rPr>
          <w:rFonts w:hint="eastAsia" w:ascii="仿宋_GB2312" w:hAnsi="黑体" w:eastAsia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突出争辩质疑，</w:t>
      </w:r>
      <w:r>
        <w:rPr>
          <w:rFonts w:hint="eastAsia" w:ascii="仿宋_GB2312" w:hAnsi="黑体" w:eastAsia="仿宋_GB2312"/>
          <w:color w:val="000000"/>
          <w:sz w:val="32"/>
          <w:szCs w:val="32"/>
          <w:highlight w:val="none"/>
          <w:lang w:eastAsia="zh-CN"/>
        </w:rPr>
        <w:t>凝练提交学术成果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四、立项数量及经费额度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立项数量不超过50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个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，每个不超过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20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万元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left="638" w:leftChars="304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五、项目周期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left="638" w:leftChars="304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年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月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日前完成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六、重点方向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highlight w:val="none"/>
        </w:rPr>
        <w:t>碳达峰碳中和、新型能源体系、粮食安全、“一带一路”等战略领域；生物制造、商业航天、低空经济、量子、生命科学等战略性新兴产业、未来产业；数字经济、人工智能、新能源汽车、数智技术、绿色技术等应用热点领域；基因编辑治疗、热泵、增强型地热系统、芯粒技术、超高效太阳能电池、百亿亿次计算机等突破性技术；先进制造、深空深海深地开发利用、生物健康、电子信息、能源环境、农业等领域重大专项</w:t>
      </w:r>
      <w:r>
        <w:rPr>
          <w:rFonts w:hint="eastAsia" w:ascii="仿宋_GB2312" w:hAnsi="微软雅黑" w:eastAsia="仿宋_GB2312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微软雅黑" w:eastAsia="仿宋_GB2312"/>
          <w:color w:val="000000"/>
          <w:sz w:val="32"/>
          <w:szCs w:val="32"/>
          <w:highlight w:val="none"/>
        </w:rPr>
        <w:t>应用基础研究和前沿研究</w:t>
      </w:r>
      <w:r>
        <w:rPr>
          <w:rFonts w:hint="eastAsia" w:ascii="仿宋_GB2312" w:hAnsi="微软雅黑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七、组织形式及要求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会期一般为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2天，地点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在北京中国科技会堂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，原则上采取邀请制，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同步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在线直播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（二）邀请一线青年科学家提出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主题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议题。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主题应是项目重点方向涉及的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具体热点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、非共识性问题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。议题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结合工作基础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优势领域与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调研情况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设定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要有明确的问题导向性、可讨论性和时效性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设置主旨报告、自由发言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对话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交流、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考察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调研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等环节，让青年科学家做主角、坐C位，不设主席台，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注重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互动讨论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争辩质疑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鼓励营造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宽松自由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的交流气氛。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实行执行主席负责制。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执行主席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职责：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确定沙龙议题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及实施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方案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提名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、邀请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主旨报告人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）主持沙龙，引导互动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研讨，活跃讨论氛围；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）牵头梳理学术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成果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，审核专家观点、决策建议；</w:t>
      </w:r>
    </w:p>
    <w:p>
      <w:pPr>
        <w:pStyle w:val="2"/>
        <w:rPr>
          <w:rFonts w:hint="default"/>
          <w:color w:val="000000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 xml:space="preserve">    （5）其他有利于提高沙龙学术质量的事项。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执行主席条件：</w:t>
      </w:r>
    </w:p>
    <w:p>
      <w:pPr>
        <w:widowControl/>
        <w:spacing w:line="58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）学风正派、品行端正，年龄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原则上在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38周岁以下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女性年龄可以适当放宽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spacing w:line="58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）具有教授、研究员或同等职称，在相关领域做出创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性成就和突出贡献，具有较强科研领军才能和协同创新能力，有良好口碑；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）优先邀请教育部、科技部、国家自然科学基金委、中国科协等青年人才项目获得者。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（五）设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</w:rPr>
        <w:t>立学术秘书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遴选与议题相关的中国科协青托入选者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担任学术秘书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（年龄原则上在38周岁以下，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女性年龄可以适当放宽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，负责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整理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凝练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专家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学术观点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起草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专家观点汇编和决策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建议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参会人员以38周岁以下青年科学家为主，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来源突出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学科交叉和产学研融合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，来自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高校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院所、专业机构、领军企业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相关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单位的比例适度，同一单位参会人员不能超过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3位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女性科学家的年龄可以适当放宽。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（七）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制定详细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可行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实施方案，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沙龙召开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天提交中国科协科学技术创新部审核，经批准后组织实施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。实施方案须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包括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突发事件应急预案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防范发表不当言论、发生学术不端行为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、安全保密事件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等风险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。配合中国科协在指定学术会议管理服务平台开展活动筹办工作。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（八）加强宣传推广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/>
        </w:rPr>
        <w:t>会前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预告</w:t>
      </w: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/>
        </w:rPr>
        <w:t>宣传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，</w:t>
      </w: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/>
        </w:rPr>
        <w:t>会后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多渠道、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多形式宣传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青年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科学家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学术成果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和创新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风采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，扩大沙龙学术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影响力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（九）严格遵循项目支出标准及有关规定要求，坚持节俭办会。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eastAsia="zh-CN"/>
        </w:rPr>
        <w:t>八、项目成果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（一）针对申报沙龙主题相关领域的现状、发展态势和存在问题等，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开展前期调研，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提交一篇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3000字左右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高质量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调研报告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（二）沙龙召开后7天内提交专家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观点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整理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汇编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（三）沙龙召开后20天内提交一篇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3000字左右决策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建议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报告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。报告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应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由相关领域院士专家把关，具有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针对性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时效性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</w:rPr>
        <w:t>战略性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（四）按项目结项及绩效要求，提交沙龙总结报告、新闻信息稿、参会人员满意度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调查问卷、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主旨报告幻灯片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参会人员名单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沙龙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现场图文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视频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</w:rPr>
        <w:t>成果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lang w:eastAsia="zh-CN"/>
        </w:rPr>
        <w:t>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164972FC"/>
    <w:rsid w:val="164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2024-04-30T12:20:00Z</dcterms:created>
  <dc:creator>安</dc:creator>
  <cp:lastModifiedBy>安</cp:lastModifiedBy>
  <dcterms:modified xsi:type="dcterms:W3CDTF">2024-04-30T12:20:39Z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6F65B19427E544BABFBEE01B993F6016_11</vt:lpwstr>
  </property>
</Properties>
</file>